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E9" w:rsidRDefault="00F64DE9" w:rsidP="00F64DE9">
      <w:pPr>
        <w:spacing w:after="0"/>
        <w:rPr>
          <w:sz w:val="22"/>
          <w:szCs w:val="22"/>
        </w:rPr>
      </w:pPr>
      <w:r w:rsidRPr="0060787B">
        <w:rPr>
          <w:sz w:val="22"/>
          <w:szCs w:val="22"/>
          <w:highlight w:val="yellow"/>
        </w:rPr>
        <w:t>NAME AND ADDRESS/LETTERHEAD</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The Honorable Edmund G. Brown</w:t>
      </w:r>
    </w:p>
    <w:p w:rsidR="00F64DE9" w:rsidRPr="0060787B" w:rsidRDefault="00F64DE9" w:rsidP="00F64DE9">
      <w:pPr>
        <w:spacing w:after="0"/>
        <w:rPr>
          <w:sz w:val="22"/>
          <w:szCs w:val="22"/>
        </w:rPr>
      </w:pPr>
      <w:r w:rsidRPr="0060787B">
        <w:rPr>
          <w:sz w:val="22"/>
          <w:szCs w:val="22"/>
        </w:rPr>
        <w:t>Governor</w:t>
      </w:r>
    </w:p>
    <w:p w:rsidR="00F64DE9" w:rsidRPr="0060787B" w:rsidRDefault="00F64DE9" w:rsidP="00F64DE9">
      <w:pPr>
        <w:spacing w:after="0"/>
        <w:rPr>
          <w:sz w:val="22"/>
          <w:szCs w:val="22"/>
        </w:rPr>
      </w:pPr>
      <w:r w:rsidRPr="0060787B">
        <w:rPr>
          <w:sz w:val="22"/>
          <w:szCs w:val="22"/>
        </w:rPr>
        <w:t>State Capitol Suite 1173</w:t>
      </w:r>
    </w:p>
    <w:p w:rsidR="00F64DE9" w:rsidRPr="0060787B" w:rsidRDefault="00F64DE9" w:rsidP="00F64DE9">
      <w:pPr>
        <w:spacing w:after="0"/>
        <w:rPr>
          <w:sz w:val="22"/>
          <w:szCs w:val="22"/>
        </w:rPr>
      </w:pPr>
      <w:r w:rsidRPr="0060787B">
        <w:rPr>
          <w:sz w:val="22"/>
          <w:szCs w:val="22"/>
        </w:rPr>
        <w:t>Sacramento, CA 95814</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RE: SUPPORT OF AB 504 (GONZALEZ)</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Dear Governor Brown:</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As a San Diego resident deeply concerned about the future of my neighborhood, I’m writing to voice my support for Assembly Bill 504 and ask that you will sign this legislation to give regular people a voice in the development of their own communities.</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Currently, Civic San Diego unilaterally makes major planning and development decisions without accountability to the City Council and with no public recourse.</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Legal experts have cast serious doubt on the legality of the current arrangement, largely because state law has so far failed to clarify what authority a city is empowered to delegate. AB 504 allows the city to move forward on firm legal footing, helping minimize expensive lawsuits that can slow down the development process.</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This bill is carefully designed to only address the sort of major development projects that have outsized impact on the local community and economy, without interfering with the current process for ensuring simple, straightforward projects are able to gain approval and move forward quickly.</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Councilmembers representing impacted neighborhoods, as well as many local groups focused on good government and community health and economic well-being have welcomed this opportunity to ensure the city is on sound legal footing and that the public is provided with a reasonable opportunity to have a voice on these decisions with the people they elected to represent their communities.</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Regular working people like me count on the representatives we elect to be our voice in providing oversight and responsibility for the major projects that have far-reaching impact on our neighborhoods. We rely on the state to provide the framework for responsible government, and AB 504 creates necessary, long-overdue oversight and transparency.</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Thank you for your consideration of this opportunity to ensure San Diegans have effective, accountable local government.</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rPr>
        <w:t>Sincerely,</w:t>
      </w:r>
    </w:p>
    <w:p w:rsidR="00F64DE9" w:rsidRPr="0060787B" w:rsidRDefault="00F64DE9" w:rsidP="00F64DE9">
      <w:pPr>
        <w:spacing w:after="0"/>
        <w:rPr>
          <w:sz w:val="22"/>
          <w:szCs w:val="22"/>
        </w:rPr>
      </w:pPr>
    </w:p>
    <w:p w:rsidR="00F64DE9" w:rsidRPr="0060787B" w:rsidRDefault="00F64DE9" w:rsidP="00F64DE9">
      <w:pPr>
        <w:spacing w:after="0"/>
        <w:rPr>
          <w:sz w:val="22"/>
          <w:szCs w:val="22"/>
        </w:rPr>
      </w:pPr>
      <w:r w:rsidRPr="0060787B">
        <w:rPr>
          <w:sz w:val="22"/>
          <w:szCs w:val="22"/>
          <w:highlight w:val="yellow"/>
        </w:rPr>
        <w:t>Name</w:t>
      </w:r>
    </w:p>
    <w:p w:rsidR="00F12EAD" w:rsidRDefault="00F12EAD">
      <w:bookmarkStart w:id="0" w:name="_GoBack"/>
      <w:bookmarkEnd w:id="0"/>
    </w:p>
    <w:sectPr w:rsidR="00F1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E9"/>
    <w:rsid w:val="00F12EAD"/>
    <w:rsid w:val="00F6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F461B-C41D-4F32-98F6-33B8041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E9"/>
    <w:pPr>
      <w:spacing w:after="200" w:line="27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Saez</dc:creator>
  <cp:keywords/>
  <dc:description/>
  <cp:lastModifiedBy>Sarah Saez</cp:lastModifiedBy>
  <cp:revision>1</cp:revision>
  <dcterms:created xsi:type="dcterms:W3CDTF">2015-09-16T03:54:00Z</dcterms:created>
  <dcterms:modified xsi:type="dcterms:W3CDTF">2015-09-16T03:55:00Z</dcterms:modified>
</cp:coreProperties>
</file>